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CC4900" w14:textId="591182F8" w:rsidR="00E86320" w:rsidRPr="00E86320" w:rsidRDefault="00E86320" w:rsidP="00FB66E4">
      <w:pPr>
        <w:rPr>
          <w:b/>
          <w:bCs/>
        </w:rPr>
      </w:pPr>
      <w:r w:rsidRPr="00E86320">
        <w:rPr>
          <w:b/>
          <w:bCs/>
        </w:rPr>
        <w:t>PART 1</w:t>
      </w:r>
    </w:p>
    <w:p w14:paraId="6752E0D9" w14:textId="0FDA49C6" w:rsidR="006142D5" w:rsidRPr="00E86320" w:rsidRDefault="00E86320" w:rsidP="00FB66E4">
      <w:pPr>
        <w:rPr>
          <w:b/>
          <w:bCs/>
        </w:rPr>
      </w:pPr>
      <w:r w:rsidRPr="00E86320">
        <w:rPr>
          <w:b/>
          <w:bCs/>
        </w:rPr>
        <w:t>QUESTIONS</w:t>
      </w:r>
    </w:p>
    <w:p w14:paraId="444CF710" w14:textId="2E7A5A8F" w:rsidR="00E86320" w:rsidRPr="00E86320" w:rsidRDefault="00E86320" w:rsidP="00E86320">
      <w:pPr>
        <w:pStyle w:val="ListParagraph"/>
        <w:numPr>
          <w:ilvl w:val="0"/>
          <w:numId w:val="1"/>
        </w:numPr>
        <w:ind w:left="360"/>
        <w:jc w:val="both"/>
      </w:pPr>
      <w:r>
        <w:rPr>
          <w:color w:val="000000"/>
        </w:rPr>
        <w:t>Describe the results that are being shown in Figure 4 and 5 (separate descriptions for A and B). Include in your answer: what experiment is being done, what is being compared (state the control) and what specifically was being measured. State exactly the probe(s) used, or method of detection (state what specifically was needed as part of the experiment. You may need to refer to the materials and methods). State what the data in the histogram represents. Be as clear as possible, stating only the unique/specific components of this experiment without listing reagents that are common to all experiments of the same type. (20)</w:t>
      </w:r>
    </w:p>
    <w:p w14:paraId="26F0F9A4" w14:textId="53D7800B" w:rsidR="00E86320" w:rsidRPr="00EB10AA" w:rsidRDefault="00B505C0" w:rsidP="00E86320">
      <w:pPr>
        <w:pStyle w:val="ListParagraph"/>
        <w:ind w:left="360"/>
        <w:jc w:val="both"/>
        <w:rPr>
          <w:b/>
          <w:bCs/>
          <w:color w:val="000000"/>
        </w:rPr>
      </w:pPr>
      <w:r w:rsidRPr="00EB10AA">
        <w:rPr>
          <w:b/>
          <w:bCs/>
          <w:color w:val="000000"/>
        </w:rPr>
        <w:t>From figure 4, for A young adulthood (PND 60), the C</w:t>
      </w:r>
      <w:r w:rsidR="00EB10AA" w:rsidRPr="00EB10AA">
        <w:rPr>
          <w:b/>
          <w:bCs/>
          <w:color w:val="000000"/>
        </w:rPr>
        <w:t>ON has high Acetyl-H3/input content compared to MS content in a paired t-test. For the unpaired t-test students</w:t>
      </w:r>
      <w:r w:rsidR="00CC2B4E">
        <w:rPr>
          <w:b/>
          <w:bCs/>
          <w:color w:val="000000"/>
        </w:rPr>
        <w:t xml:space="preserve"> (PND 240)</w:t>
      </w:r>
      <w:r w:rsidR="00EB10AA" w:rsidRPr="00EB10AA">
        <w:rPr>
          <w:b/>
          <w:bCs/>
          <w:color w:val="000000"/>
        </w:rPr>
        <w:t xml:space="preserve"> showed less MS compared to paired MS.</w:t>
      </w:r>
      <w:r w:rsidR="00CC2B4E">
        <w:rPr>
          <w:b/>
          <w:bCs/>
          <w:color w:val="000000"/>
        </w:rPr>
        <w:t xml:space="preserve"> I</w:t>
      </w:r>
      <w:r w:rsidR="00EB10AA">
        <w:rPr>
          <w:b/>
          <w:bCs/>
          <w:color w:val="000000"/>
        </w:rPr>
        <w:t>n this experiment the effect of maternal separation on depression like behaviours in young adults</w:t>
      </w:r>
      <w:r w:rsidR="00CC2B4E">
        <w:rPr>
          <w:b/>
          <w:bCs/>
          <w:color w:val="000000"/>
        </w:rPr>
        <w:t>. From figure 4 B the test was carried out on the u</w:t>
      </w:r>
      <w:r w:rsidR="00022841">
        <w:rPr>
          <w:b/>
          <w:bCs/>
          <w:color w:val="000000"/>
        </w:rPr>
        <w:t>n</w:t>
      </w:r>
      <w:r w:rsidR="00CC2B4E">
        <w:rPr>
          <w:b/>
          <w:bCs/>
          <w:color w:val="000000"/>
        </w:rPr>
        <w:t>paired</w:t>
      </w:r>
      <w:r w:rsidR="00022841">
        <w:rPr>
          <w:b/>
          <w:bCs/>
          <w:color w:val="000000"/>
        </w:rPr>
        <w:t xml:space="preserve"> set, for the young adulthood (PND 60) the amount of HDAC5/GAPDH for the CON </w:t>
      </w:r>
      <w:r w:rsidR="00CC1369">
        <w:rPr>
          <w:b/>
          <w:bCs/>
          <w:color w:val="000000"/>
        </w:rPr>
        <w:t xml:space="preserve">lower compared to the value of MS while for the </w:t>
      </w:r>
      <w:r w:rsidR="00FF25F4">
        <w:rPr>
          <w:b/>
          <w:bCs/>
          <w:color w:val="000000"/>
        </w:rPr>
        <w:t>Middle adulthood</w:t>
      </w:r>
      <w:r w:rsidR="00CC1369">
        <w:rPr>
          <w:b/>
          <w:bCs/>
          <w:color w:val="000000"/>
        </w:rPr>
        <w:t xml:space="preserve"> (PND 240</w:t>
      </w:r>
      <w:bookmarkStart w:id="0" w:name="_GoBack"/>
      <w:bookmarkEnd w:id="0"/>
      <w:r w:rsidR="00CC1369">
        <w:rPr>
          <w:b/>
          <w:bCs/>
          <w:color w:val="000000"/>
        </w:rPr>
        <w:t>)</w:t>
      </w:r>
      <w:r w:rsidR="00213DEA">
        <w:rPr>
          <w:b/>
          <w:bCs/>
          <w:color w:val="000000"/>
        </w:rPr>
        <w:t xml:space="preserve">, the </w:t>
      </w:r>
      <w:r w:rsidR="004A6240">
        <w:rPr>
          <w:b/>
          <w:bCs/>
          <w:color w:val="000000"/>
        </w:rPr>
        <w:t>amount of</w:t>
      </w:r>
      <w:r w:rsidR="00FF25F4">
        <w:rPr>
          <w:b/>
          <w:bCs/>
          <w:color w:val="000000"/>
        </w:rPr>
        <w:t xml:space="preserve"> MS</w:t>
      </w:r>
      <w:r w:rsidR="00213DEA">
        <w:rPr>
          <w:b/>
          <w:bCs/>
          <w:color w:val="000000"/>
        </w:rPr>
        <w:t xml:space="preserve"> HDAC5/GAPDH in MS is higher than that in CON.</w:t>
      </w:r>
      <w:r w:rsidR="00D10742">
        <w:rPr>
          <w:b/>
          <w:bCs/>
          <w:color w:val="000000"/>
        </w:rPr>
        <w:t xml:space="preserve"> The data in the histogram represent the </w:t>
      </w:r>
    </w:p>
    <w:p w14:paraId="67547CE5" w14:textId="77777777" w:rsidR="00E86320" w:rsidRPr="00E86320" w:rsidRDefault="00E86320" w:rsidP="00E86320">
      <w:pPr>
        <w:pStyle w:val="ListParagraph"/>
        <w:ind w:left="360"/>
        <w:jc w:val="both"/>
      </w:pPr>
    </w:p>
    <w:p w14:paraId="2EED4C24" w14:textId="09B2CF7A" w:rsidR="00E86320" w:rsidRPr="00E86320" w:rsidRDefault="00E86320" w:rsidP="00E86320">
      <w:pPr>
        <w:pStyle w:val="ListParagraph"/>
        <w:numPr>
          <w:ilvl w:val="0"/>
          <w:numId w:val="1"/>
        </w:numPr>
        <w:ind w:left="360"/>
        <w:jc w:val="both"/>
      </w:pPr>
      <w:r>
        <w:rPr>
          <w:color w:val="000000"/>
        </w:rPr>
        <w:t xml:space="preserve"> Briefly state what the results imply, that is, what impact the results in figures 4 and 5 would have on the gene in each case, and also on the animal in later life. (5)</w:t>
      </w:r>
    </w:p>
    <w:p w14:paraId="2BCE425B" w14:textId="3352A45E" w:rsidR="00E86320" w:rsidRPr="00FF25F4" w:rsidRDefault="00FF25F4" w:rsidP="00E86320">
      <w:pPr>
        <w:pStyle w:val="ListParagraph"/>
        <w:ind w:left="360"/>
        <w:jc w:val="both"/>
        <w:rPr>
          <w:b/>
          <w:bCs/>
          <w:color w:val="000000"/>
        </w:rPr>
      </w:pPr>
      <w:r w:rsidRPr="00FF25F4">
        <w:rPr>
          <w:b/>
          <w:bCs/>
          <w:color w:val="000000"/>
        </w:rPr>
        <w:t>From the study, the phenotype of depression was observed in GR knockout mice, the mice showed small intake of sucrose from the GR knockout results compared to the normal mice, the glucocorticoid levels in the blood were higher than in normal mice.</w:t>
      </w:r>
    </w:p>
    <w:p w14:paraId="4741DC82" w14:textId="44B54A82" w:rsidR="00E86320" w:rsidRDefault="00E86320" w:rsidP="00E86320">
      <w:pPr>
        <w:pStyle w:val="ListParagraph"/>
        <w:ind w:left="360"/>
        <w:jc w:val="both"/>
        <w:rPr>
          <w:color w:val="000000"/>
        </w:rPr>
      </w:pPr>
    </w:p>
    <w:p w14:paraId="79F82A8D" w14:textId="77777777" w:rsidR="00E86320" w:rsidRPr="00E86320" w:rsidRDefault="00E86320" w:rsidP="00E86320">
      <w:pPr>
        <w:pStyle w:val="ListParagraph"/>
        <w:ind w:left="360"/>
        <w:jc w:val="both"/>
      </w:pPr>
    </w:p>
    <w:p w14:paraId="0C180CAB" w14:textId="5BFF9608" w:rsidR="00E86320" w:rsidRPr="00E86320" w:rsidRDefault="00E86320" w:rsidP="00E86320">
      <w:pPr>
        <w:pStyle w:val="ListParagraph"/>
        <w:numPr>
          <w:ilvl w:val="0"/>
          <w:numId w:val="1"/>
        </w:numPr>
        <w:ind w:left="360"/>
        <w:jc w:val="both"/>
      </w:pPr>
      <w:r>
        <w:rPr>
          <w:color w:val="000000"/>
        </w:rPr>
        <w:t xml:space="preserve"> Compare the assay in Figures 4A and 5 A&amp;B to the same assay in the paper by Weaver at al. What are the similarities and differences between what was found in the Weaver paper vs this one with respect to this assay? Be specific in terms of the treatment and probes used. (3)</w:t>
      </w:r>
    </w:p>
    <w:p w14:paraId="171F9338" w14:textId="67D16090" w:rsidR="00E86320" w:rsidRPr="004B2FF8" w:rsidRDefault="00876C29" w:rsidP="004B2FF8">
      <w:pPr>
        <w:pStyle w:val="ListParagraph"/>
        <w:ind w:left="360"/>
        <w:jc w:val="both"/>
        <w:rPr>
          <w:b/>
          <w:bCs/>
          <w:color w:val="000000"/>
        </w:rPr>
      </w:pPr>
      <w:r w:rsidRPr="00876C29">
        <w:rPr>
          <w:b/>
          <w:bCs/>
          <w:color w:val="000000"/>
        </w:rPr>
        <w:t>For figure 4A for both cases the controlled experiment was the same because the exhibit the same amount of Acetyl – H3/ input but for the MS experiment the amount of Acetyl – H3/ input was high in this paper compared to the Weaver at al paper.</w:t>
      </w:r>
      <w:r>
        <w:rPr>
          <w:b/>
          <w:bCs/>
          <w:color w:val="000000"/>
        </w:rPr>
        <w:t xml:space="preserve"> For figure 5 A </w:t>
      </w:r>
      <w:r w:rsidRPr="004B2FF8">
        <w:rPr>
          <w:b/>
          <w:bCs/>
          <w:color w:val="000000"/>
        </w:rPr>
        <w:t>the controlled experiment was the same but for the maternal separation</w:t>
      </w:r>
      <w:r w:rsidR="004B2FF8" w:rsidRPr="004B2FF8">
        <w:rPr>
          <w:b/>
          <w:bCs/>
          <w:color w:val="000000"/>
        </w:rPr>
        <w:t xml:space="preserve"> the value of H3K4MEincrease from 0.4 in this paper to</w:t>
      </w:r>
      <w:r w:rsidR="004B2FF8">
        <w:rPr>
          <w:b/>
          <w:bCs/>
          <w:color w:val="000000"/>
        </w:rPr>
        <w:t xml:space="preserve"> 0.3</w:t>
      </w:r>
      <w:r w:rsidR="004B2FF8" w:rsidRPr="004B2FF8">
        <w:rPr>
          <w:b/>
          <w:bCs/>
          <w:color w:val="000000"/>
        </w:rPr>
        <w:t xml:space="preserve"> in the</w:t>
      </w:r>
      <w:r w:rsidR="004B2FF8">
        <w:rPr>
          <w:color w:val="000000"/>
        </w:rPr>
        <w:t xml:space="preserve"> </w:t>
      </w:r>
      <w:r w:rsidR="004B2FF8" w:rsidRPr="00876C29">
        <w:rPr>
          <w:b/>
          <w:bCs/>
          <w:color w:val="000000"/>
        </w:rPr>
        <w:t>Weaver at al paper</w:t>
      </w:r>
      <w:r w:rsidR="004B2FF8">
        <w:rPr>
          <w:b/>
          <w:bCs/>
          <w:color w:val="000000"/>
        </w:rPr>
        <w:t xml:space="preserve"> for the young adult but remained the same for the middled adult. For figure 5B all the parameters remained the same for both papers.</w:t>
      </w:r>
    </w:p>
    <w:p w14:paraId="15B03FC3" w14:textId="45212D15" w:rsidR="00E86320" w:rsidRPr="0074120F" w:rsidRDefault="00E86320" w:rsidP="0074120F">
      <w:pPr>
        <w:pStyle w:val="ListParagraph"/>
        <w:numPr>
          <w:ilvl w:val="0"/>
          <w:numId w:val="1"/>
        </w:numPr>
        <w:ind w:left="360"/>
        <w:jc w:val="both"/>
      </w:pPr>
      <w:r>
        <w:rPr>
          <w:color w:val="000000"/>
        </w:rPr>
        <w:t xml:space="preserve"> Speculate on what the purpose could be of the effect being observed specifically at these 17 promoters. What do the authors mean when </w:t>
      </w:r>
      <w:proofErr w:type="gramStart"/>
      <w:r>
        <w:rPr>
          <w:color w:val="000000"/>
        </w:rPr>
        <w:t>the refer</w:t>
      </w:r>
      <w:proofErr w:type="gramEnd"/>
      <w:r>
        <w:rPr>
          <w:color w:val="000000"/>
        </w:rPr>
        <w:t xml:space="preserve"> to the 1</w:t>
      </w:r>
      <w:r>
        <w:rPr>
          <w:color w:val="000000"/>
          <w:sz w:val="16"/>
          <w:szCs w:val="16"/>
        </w:rPr>
        <w:t xml:space="preserve">7 </w:t>
      </w:r>
      <w:r>
        <w:rPr>
          <w:color w:val="000000"/>
        </w:rPr>
        <w:t>promoter? You do not need to include specific details about the promoter, but comment on what has been observed in this paper and the Weaver paper and comment on what impact this might have on the regulation of the gene for the glucocorticoid receptor. (4)</w:t>
      </w:r>
      <w:r w:rsidR="00876C29">
        <w:rPr>
          <w:color w:val="000000"/>
        </w:rPr>
        <w:t xml:space="preserve"> </w:t>
      </w:r>
    </w:p>
    <w:p w14:paraId="59F26014" w14:textId="10FED727" w:rsidR="00E86320" w:rsidRPr="0074120F" w:rsidRDefault="0074120F" w:rsidP="00E86320">
      <w:pPr>
        <w:pStyle w:val="ListParagraph"/>
        <w:ind w:left="360"/>
        <w:jc w:val="both"/>
        <w:rPr>
          <w:b/>
          <w:bCs/>
        </w:rPr>
      </w:pPr>
      <w:r w:rsidRPr="0074120F">
        <w:rPr>
          <w:b/>
          <w:bCs/>
        </w:rPr>
        <w:t xml:space="preserve">17 promoters from my own speculation is something that cause gene mutation or an agent of mutation, this is because from the figure 4 and 5 in this paper and in the Weaver paper there is a </w:t>
      </w:r>
      <w:r w:rsidRPr="0074120F">
        <w:rPr>
          <w:b/>
          <w:bCs/>
        </w:rPr>
        <w:lastRenderedPageBreak/>
        <w:t>difference between CON and MS experiment in terms of the no. of genes being manipulated.</w:t>
      </w:r>
      <w:r>
        <w:rPr>
          <w:b/>
          <w:bCs/>
        </w:rPr>
        <w:t xml:space="preserve"> The impact of this gene mutation varies because at some cases the mutation is high and some cases from the figures are low.</w:t>
      </w:r>
    </w:p>
    <w:p w14:paraId="109AEA4D" w14:textId="77777777" w:rsidR="00E86320" w:rsidRPr="00E86320" w:rsidRDefault="00E86320" w:rsidP="00E86320">
      <w:pPr>
        <w:pStyle w:val="ListParagraph"/>
        <w:numPr>
          <w:ilvl w:val="0"/>
          <w:numId w:val="1"/>
        </w:numPr>
        <w:ind w:left="360"/>
        <w:jc w:val="both"/>
      </w:pPr>
      <w:r>
        <w:rPr>
          <w:color w:val="000000"/>
        </w:rPr>
        <w:t>Explain why the experiments were important to understand the type of interaction that is taking place in this study, based on their hypothesis. What study would you add? (3)</w:t>
      </w:r>
    </w:p>
    <w:p w14:paraId="0DD9085D" w14:textId="482075AA" w:rsidR="00E86320" w:rsidRPr="00A841C4" w:rsidRDefault="00FD7BAB" w:rsidP="00E86320">
      <w:pPr>
        <w:pStyle w:val="ListParagraph"/>
        <w:ind w:left="360"/>
        <w:jc w:val="both"/>
        <w:rPr>
          <w:b/>
          <w:bCs/>
          <w:color w:val="000000"/>
        </w:rPr>
      </w:pPr>
      <w:r w:rsidRPr="00A841C4">
        <w:rPr>
          <w:b/>
          <w:bCs/>
          <w:color w:val="000000"/>
        </w:rPr>
        <w:t xml:space="preserve">The experiment was important </w:t>
      </w:r>
      <w:r w:rsidR="009629B6" w:rsidRPr="00A841C4">
        <w:rPr>
          <w:b/>
          <w:bCs/>
          <w:color w:val="000000"/>
        </w:rPr>
        <w:t xml:space="preserve">because it showed the interaction between the gene and HDAC5/GAPDH. </w:t>
      </w:r>
      <w:r w:rsidR="00A841C4">
        <w:rPr>
          <w:b/>
          <w:bCs/>
          <w:color w:val="000000"/>
        </w:rPr>
        <w:t>From the bar graphs in figure 4 and 5, the controlled experiment and maternal separation showed a change in the structure of the gene due to the HDAC5/GAPDH induced in the mice.</w:t>
      </w:r>
    </w:p>
    <w:p w14:paraId="5E0131EB" w14:textId="77777777" w:rsidR="003513B0" w:rsidRDefault="00E86320" w:rsidP="00E86320">
      <w:pPr>
        <w:pStyle w:val="ListParagraph"/>
        <w:ind w:left="360"/>
        <w:jc w:val="both"/>
        <w:rPr>
          <w:color w:val="000000"/>
        </w:rPr>
      </w:pPr>
      <w:r>
        <w:rPr>
          <w:color w:val="000000"/>
        </w:rPr>
        <w:t xml:space="preserve"> </w:t>
      </w:r>
    </w:p>
    <w:p w14:paraId="3F7AE42F" w14:textId="73E8F475" w:rsidR="00E86320" w:rsidRDefault="003513B0" w:rsidP="00E86320">
      <w:pPr>
        <w:pStyle w:val="ListParagraph"/>
        <w:ind w:left="360"/>
        <w:jc w:val="both"/>
        <w:rPr>
          <w:b/>
          <w:color w:val="000000"/>
        </w:rPr>
      </w:pPr>
      <w:r w:rsidRPr="003513B0">
        <w:rPr>
          <w:b/>
          <w:color w:val="000000"/>
        </w:rPr>
        <w:t>Part 2</w:t>
      </w:r>
    </w:p>
    <w:p w14:paraId="2827B757" w14:textId="77777777" w:rsidR="003513B0" w:rsidRPr="003513B0" w:rsidRDefault="003513B0" w:rsidP="003513B0">
      <w:pPr>
        <w:pStyle w:val="ListParagraph"/>
        <w:ind w:left="360"/>
        <w:jc w:val="both"/>
      </w:pPr>
      <w:r w:rsidRPr="003513B0">
        <w:t>1) In your own words, describe the conditions in which the cell is normally able to increase levels of NRF2. What specific factor is regulated, and how? What benefit is this to the cell? (7), and how? What benefit is this to the cell? (7)</w:t>
      </w:r>
    </w:p>
    <w:p w14:paraId="16B14B57" w14:textId="77777777" w:rsidR="003513B0" w:rsidRPr="003513B0" w:rsidRDefault="003513B0" w:rsidP="003513B0">
      <w:pPr>
        <w:pStyle w:val="ListParagraph"/>
        <w:ind w:left="360"/>
        <w:jc w:val="both"/>
        <w:rPr>
          <w:b/>
        </w:rPr>
      </w:pPr>
      <w:r w:rsidRPr="003513B0">
        <w:tab/>
      </w:r>
      <w:r w:rsidRPr="003513B0">
        <w:rPr>
          <w:b/>
        </w:rPr>
        <w:t>Cell is normally able to increase nrf2 by</w:t>
      </w:r>
    </w:p>
    <w:p w14:paraId="2AA40E11" w14:textId="77777777" w:rsidR="003513B0" w:rsidRPr="003513B0" w:rsidRDefault="003513B0" w:rsidP="003513B0">
      <w:pPr>
        <w:pStyle w:val="ListParagraph"/>
        <w:ind w:left="360"/>
        <w:jc w:val="both"/>
      </w:pPr>
      <w:r w:rsidRPr="003513B0">
        <w:t xml:space="preserve">Nrf2 transcription is positively regulated by </w:t>
      </w:r>
      <w:proofErr w:type="spellStart"/>
      <w:r w:rsidRPr="003513B0">
        <w:t>AhR</w:t>
      </w:r>
      <w:proofErr w:type="spellEnd"/>
      <w:r w:rsidRPr="003513B0">
        <w:t>, ARNT, NF-</w:t>
      </w:r>
      <w:proofErr w:type="spellStart"/>
      <w:r w:rsidRPr="003513B0">
        <w:t>κB</w:t>
      </w:r>
      <w:proofErr w:type="spellEnd"/>
      <w:r w:rsidRPr="003513B0">
        <w:t xml:space="preserve">, Jun, and Myc. </w:t>
      </w:r>
    </w:p>
    <w:p w14:paraId="72BC6443" w14:textId="77777777" w:rsidR="003513B0" w:rsidRPr="003513B0" w:rsidRDefault="003513B0" w:rsidP="003513B0">
      <w:pPr>
        <w:pStyle w:val="ListParagraph"/>
        <w:ind w:left="360"/>
        <w:jc w:val="both"/>
        <w:rPr>
          <w:b/>
        </w:rPr>
      </w:pPr>
      <w:r w:rsidRPr="003513B0">
        <w:rPr>
          <w:b/>
        </w:rPr>
        <w:t>What specific factor is regulated?</w:t>
      </w:r>
    </w:p>
    <w:p w14:paraId="405F401F" w14:textId="77777777" w:rsidR="003513B0" w:rsidRPr="003513B0" w:rsidRDefault="003513B0" w:rsidP="003513B0">
      <w:pPr>
        <w:pStyle w:val="ListParagraph"/>
        <w:ind w:left="360"/>
        <w:jc w:val="both"/>
      </w:pPr>
      <w:r w:rsidRPr="003513B0">
        <w:t>Transcriptional factor</w:t>
      </w:r>
    </w:p>
    <w:p w14:paraId="212BC0C0" w14:textId="77777777" w:rsidR="003513B0" w:rsidRPr="003513B0" w:rsidRDefault="003513B0" w:rsidP="003513B0">
      <w:pPr>
        <w:pStyle w:val="ListParagraph"/>
        <w:ind w:left="360"/>
        <w:jc w:val="both"/>
        <w:rPr>
          <w:bCs/>
        </w:rPr>
      </w:pPr>
      <w:r w:rsidRPr="003513B0">
        <w:rPr>
          <w:bCs/>
        </w:rPr>
        <w:t>The Nrf2 regulatory network provides an interface between redox and intermediary metabolism</w:t>
      </w:r>
    </w:p>
    <w:p w14:paraId="268E5746" w14:textId="77777777" w:rsidR="003513B0" w:rsidRPr="003513B0" w:rsidRDefault="003513B0" w:rsidP="003513B0">
      <w:pPr>
        <w:pStyle w:val="ListParagraph"/>
        <w:ind w:left="360"/>
        <w:jc w:val="both"/>
        <w:rPr>
          <w:b/>
          <w:bCs/>
        </w:rPr>
      </w:pPr>
      <w:r w:rsidRPr="003513B0">
        <w:rPr>
          <w:b/>
          <w:bCs/>
        </w:rPr>
        <w:t>Benefit to the cell</w:t>
      </w:r>
    </w:p>
    <w:p w14:paraId="3DB6E3E2" w14:textId="77777777" w:rsidR="003513B0" w:rsidRPr="003513B0" w:rsidRDefault="003513B0" w:rsidP="003513B0">
      <w:pPr>
        <w:pStyle w:val="ListParagraph"/>
        <w:ind w:left="360"/>
        <w:jc w:val="both"/>
      </w:pPr>
      <w:r w:rsidRPr="003513B0">
        <w:t xml:space="preserve">Nrf2 allows adaptation by inducing </w:t>
      </w:r>
      <w:proofErr w:type="spellStart"/>
      <w:r w:rsidRPr="003513B0">
        <w:t>cytoprotective</w:t>
      </w:r>
      <w:proofErr w:type="spellEnd"/>
      <w:r w:rsidRPr="003513B0">
        <w:t xml:space="preserve"> genes and maintaining redox homeostasis.</w:t>
      </w:r>
    </w:p>
    <w:p w14:paraId="2C512B92" w14:textId="77777777" w:rsidR="003513B0" w:rsidRPr="003513B0" w:rsidRDefault="003513B0" w:rsidP="003513B0">
      <w:pPr>
        <w:pStyle w:val="ListParagraph"/>
        <w:ind w:left="360"/>
        <w:jc w:val="both"/>
        <w:rPr>
          <w:b/>
          <w:bCs/>
        </w:rPr>
      </w:pPr>
    </w:p>
    <w:p w14:paraId="41014B0B" w14:textId="77777777" w:rsidR="003513B0" w:rsidRPr="003513B0" w:rsidRDefault="003513B0" w:rsidP="003513B0">
      <w:pPr>
        <w:pStyle w:val="ListParagraph"/>
        <w:ind w:left="360"/>
        <w:jc w:val="both"/>
        <w:rPr>
          <w:b/>
        </w:rPr>
      </w:pPr>
      <w:r w:rsidRPr="003513B0">
        <w:rPr>
          <w:b/>
        </w:rPr>
        <w:t>2) In this study, how was NRF2 isolated? Describe the process briefly.</w:t>
      </w:r>
    </w:p>
    <w:p w14:paraId="69A8B804" w14:textId="77777777" w:rsidR="003513B0" w:rsidRPr="003513B0" w:rsidRDefault="003513B0" w:rsidP="003513B0">
      <w:pPr>
        <w:pStyle w:val="ListParagraph"/>
        <w:ind w:left="360"/>
        <w:jc w:val="both"/>
        <w:rPr>
          <w:b/>
        </w:rPr>
      </w:pPr>
    </w:p>
    <w:p w14:paraId="08A85530" w14:textId="77777777" w:rsidR="003513B0" w:rsidRPr="003513B0" w:rsidRDefault="003513B0" w:rsidP="003513B0">
      <w:pPr>
        <w:pStyle w:val="ListParagraph"/>
        <w:ind w:left="360"/>
        <w:jc w:val="both"/>
      </w:pPr>
      <w:r w:rsidRPr="003513B0">
        <w:t xml:space="preserve">We first compare the potency of ARE activation in six fruit and six vegetables extracts. Green </w:t>
      </w:r>
      <w:proofErr w:type="spellStart"/>
      <w:r w:rsidRPr="003513B0">
        <w:t>perilla</w:t>
      </w:r>
      <w:proofErr w:type="spellEnd"/>
      <w:r w:rsidRPr="003513B0">
        <w:t xml:space="preserve"> (</w:t>
      </w:r>
      <w:proofErr w:type="spellStart"/>
      <w:r w:rsidRPr="003513B0">
        <w:rPr>
          <w:i/>
          <w:iCs/>
        </w:rPr>
        <w:t>Perilla</w:t>
      </w:r>
      <w:proofErr w:type="spellEnd"/>
      <w:r w:rsidRPr="003513B0">
        <w:rPr>
          <w:i/>
          <w:iCs/>
        </w:rPr>
        <w:t xml:space="preserve"> </w:t>
      </w:r>
      <w:proofErr w:type="spellStart"/>
      <w:r w:rsidRPr="003513B0">
        <w:rPr>
          <w:i/>
          <w:iCs/>
        </w:rPr>
        <w:t>frutescens</w:t>
      </w:r>
      <w:proofErr w:type="spellEnd"/>
      <w:r w:rsidRPr="003513B0">
        <w:t> var</w:t>
      </w:r>
      <w:r w:rsidRPr="003513B0">
        <w:rPr>
          <w:i/>
          <w:iCs/>
        </w:rPr>
        <w:t xml:space="preserve">. </w:t>
      </w:r>
      <w:proofErr w:type="spellStart"/>
      <w:r w:rsidRPr="003513B0">
        <w:rPr>
          <w:i/>
          <w:iCs/>
        </w:rPr>
        <w:t>crispa</w:t>
      </w:r>
      <w:proofErr w:type="spellEnd"/>
      <w:r w:rsidRPr="003513B0">
        <w:t> f</w:t>
      </w:r>
      <w:r w:rsidRPr="003513B0">
        <w:rPr>
          <w:i/>
          <w:iCs/>
        </w:rPr>
        <w:t xml:space="preserve">. </w:t>
      </w:r>
      <w:proofErr w:type="spellStart"/>
      <w:r w:rsidRPr="003513B0">
        <w:rPr>
          <w:i/>
          <w:iCs/>
        </w:rPr>
        <w:t>viridis</w:t>
      </w:r>
      <w:proofErr w:type="spellEnd"/>
      <w:r w:rsidRPr="003513B0">
        <w:t xml:space="preserve">) extract exhibited high ARE activity. We isolate the active fraction from green </w:t>
      </w:r>
      <w:proofErr w:type="spellStart"/>
      <w:r w:rsidRPr="003513B0">
        <w:t>perilla</w:t>
      </w:r>
      <w:proofErr w:type="spellEnd"/>
      <w:r w:rsidRPr="003513B0">
        <w:t xml:space="preserve"> extract through bioactivity-guided fractionation. Based on nuclear magnetic resonance and mass spectrometric analysis, the active ingredient responsible for the ARE activity is identified as 2′</w:t>
      </w:r>
      <w:proofErr w:type="gramStart"/>
      <w:r w:rsidRPr="003513B0">
        <w:t>,3</w:t>
      </w:r>
      <w:proofErr w:type="gramEnd"/>
      <w:r w:rsidRPr="003513B0">
        <w:t>′-dihydroxy-4′,6′-dimethoxychalcone (DDC). DDC induced the expression of antioxidant enzymes, such as γ-</w:t>
      </w:r>
      <w:proofErr w:type="spellStart"/>
      <w:r w:rsidRPr="003513B0">
        <w:t>glutamylcysteine</w:t>
      </w:r>
      <w:proofErr w:type="spellEnd"/>
      <w:r w:rsidRPr="003513B0">
        <w:t xml:space="preserve"> </w:t>
      </w:r>
      <w:proofErr w:type="spellStart"/>
      <w:r w:rsidRPr="003513B0">
        <w:t>synthetase</w:t>
      </w:r>
      <w:proofErr w:type="spellEnd"/>
      <w:r w:rsidRPr="003513B0">
        <w:t xml:space="preserve"> (γ-GCS), NAD (P) H: </w:t>
      </w:r>
      <w:proofErr w:type="spellStart"/>
      <w:r w:rsidRPr="003513B0">
        <w:t>quinone</w:t>
      </w:r>
      <w:proofErr w:type="spellEnd"/>
      <w:r w:rsidRPr="003513B0">
        <w:t xml:space="preserve"> oxidoreductase-1 (NQO1), and </w:t>
      </w:r>
      <w:proofErr w:type="spellStart"/>
      <w:r w:rsidRPr="003513B0">
        <w:t>heme</w:t>
      </w:r>
      <w:proofErr w:type="spellEnd"/>
      <w:r w:rsidRPr="003513B0">
        <w:t xml:space="preserve"> oxygenase-1. DDC inhibited the formation of intracellular reactive oxygen species and the cytotoxicity induced by 6-hydroxydopamine. Inhibition of the p38 mitogen-activated protein kinase pathway abolished ARE activation, the induction of γ-GCS and NQO1, and the </w:t>
      </w:r>
      <w:proofErr w:type="spellStart"/>
      <w:r w:rsidRPr="003513B0">
        <w:t>cytoprotective</w:t>
      </w:r>
      <w:proofErr w:type="spellEnd"/>
      <w:r w:rsidRPr="003513B0">
        <w:t xml:space="preserve"> effect brought about by DDC. Thus, this study demonstrates that DDC contained in green </w:t>
      </w:r>
      <w:proofErr w:type="spellStart"/>
      <w:r w:rsidRPr="003513B0">
        <w:t>perilla</w:t>
      </w:r>
      <w:proofErr w:type="spellEnd"/>
      <w:r w:rsidRPr="003513B0">
        <w:t xml:space="preserve"> enhanced cellular resistance to oxidative damage through activation of the Nrf2-ARE pathway.</w:t>
      </w:r>
    </w:p>
    <w:p w14:paraId="54E17B3E" w14:textId="77777777" w:rsidR="003513B0" w:rsidRDefault="003513B0" w:rsidP="003513B0">
      <w:pPr>
        <w:pStyle w:val="ListParagraph"/>
        <w:ind w:left="360"/>
        <w:jc w:val="both"/>
        <w:rPr>
          <w:b/>
        </w:rPr>
      </w:pPr>
    </w:p>
    <w:p w14:paraId="3CD8BCD9" w14:textId="77777777" w:rsidR="003513B0" w:rsidRPr="003513B0" w:rsidRDefault="003513B0" w:rsidP="003513B0">
      <w:pPr>
        <w:pStyle w:val="ListParagraph"/>
        <w:ind w:left="360"/>
        <w:jc w:val="both"/>
        <w:rPr>
          <w:b/>
        </w:rPr>
      </w:pPr>
      <w:r w:rsidRPr="003513B0">
        <w:rPr>
          <w:b/>
        </w:rPr>
        <w:t>3) Small interfering RNA (</w:t>
      </w:r>
      <w:proofErr w:type="spellStart"/>
      <w:r w:rsidRPr="003513B0">
        <w:rPr>
          <w:b/>
        </w:rPr>
        <w:t>siRNA</w:t>
      </w:r>
      <w:proofErr w:type="spellEnd"/>
      <w:r w:rsidRPr="003513B0">
        <w:rPr>
          <w:b/>
        </w:rPr>
        <w:t>) works in a similar way to microRNA (</w:t>
      </w:r>
      <w:proofErr w:type="spellStart"/>
      <w:r w:rsidRPr="003513B0">
        <w:rPr>
          <w:b/>
        </w:rPr>
        <w:t>miRNA</w:t>
      </w:r>
      <w:proofErr w:type="spellEnd"/>
      <w:r w:rsidRPr="003513B0">
        <w:rPr>
          <w:b/>
        </w:rPr>
        <w:t>) but is more specific at being able to target specific genes. Describe the results shown in figure 2 and why they are important</w:t>
      </w:r>
    </w:p>
    <w:p w14:paraId="61D1A354" w14:textId="77777777" w:rsidR="003513B0" w:rsidRPr="003513B0" w:rsidRDefault="003513B0" w:rsidP="003513B0">
      <w:pPr>
        <w:pStyle w:val="ListParagraph"/>
        <w:ind w:left="360"/>
        <w:jc w:val="both"/>
      </w:pPr>
      <w:r w:rsidRPr="003513B0">
        <w:t>From the above results small interfering RNAs (</w:t>
      </w:r>
      <w:proofErr w:type="spellStart"/>
      <w:r w:rsidRPr="003513B0">
        <w:t>siRNAs</w:t>
      </w:r>
      <w:proofErr w:type="spellEnd"/>
      <w:r w:rsidRPr="003513B0">
        <w:t>) and microRNAs (</w:t>
      </w:r>
      <w:proofErr w:type="spellStart"/>
      <w:r w:rsidRPr="003513B0">
        <w:t>miRNAs</w:t>
      </w:r>
      <w:proofErr w:type="spellEnd"/>
      <w:r w:rsidRPr="003513B0">
        <w:t xml:space="preserve">) are noncoding RNAs with important roles in gene regulation. They have recently been investigated as novel classes of therapeutic agents for the treatment of a wide range of disorders including cancers and infections. Clinical trials of </w:t>
      </w:r>
      <w:proofErr w:type="spellStart"/>
      <w:r w:rsidRPr="003513B0">
        <w:t>siRNA</w:t>
      </w:r>
      <w:proofErr w:type="spellEnd"/>
      <w:r w:rsidRPr="003513B0">
        <w:t xml:space="preserve">- and </w:t>
      </w:r>
      <w:proofErr w:type="spellStart"/>
      <w:r w:rsidRPr="003513B0">
        <w:t>miRNA</w:t>
      </w:r>
      <w:proofErr w:type="spellEnd"/>
      <w:r w:rsidRPr="003513B0">
        <w:t xml:space="preserve">-based drugs have already been initiated. </w:t>
      </w:r>
      <w:proofErr w:type="spellStart"/>
      <w:proofErr w:type="gramStart"/>
      <w:r w:rsidRPr="003513B0">
        <w:t>siRNAs</w:t>
      </w:r>
      <w:proofErr w:type="spellEnd"/>
      <w:proofErr w:type="gramEnd"/>
      <w:r w:rsidRPr="003513B0">
        <w:t xml:space="preserve"> and </w:t>
      </w:r>
      <w:proofErr w:type="spellStart"/>
      <w:r w:rsidRPr="003513B0">
        <w:t>miRNAs</w:t>
      </w:r>
      <w:proofErr w:type="spellEnd"/>
      <w:r w:rsidRPr="003513B0">
        <w:t xml:space="preserve"> share many similarities, both are short duplex RNA molecules that exert gene silencing effects at the post-transcriptional level by targeting messenger RNA (mRNA), yet their mechanisms of action and clinical applications are distinct. The major difference between </w:t>
      </w:r>
      <w:proofErr w:type="spellStart"/>
      <w:r w:rsidRPr="003513B0">
        <w:t>siRNAs</w:t>
      </w:r>
      <w:proofErr w:type="spellEnd"/>
      <w:r w:rsidRPr="003513B0">
        <w:t xml:space="preserve"> and </w:t>
      </w:r>
      <w:proofErr w:type="spellStart"/>
      <w:r w:rsidRPr="003513B0">
        <w:t>miRNAs</w:t>
      </w:r>
      <w:proofErr w:type="spellEnd"/>
      <w:r w:rsidRPr="003513B0">
        <w:t xml:space="preserve"> is that the former are highly specific with only one mRNA target, whereas the latter have multiple targets. The therapeutic approaches of </w:t>
      </w:r>
      <w:proofErr w:type="spellStart"/>
      <w:r w:rsidRPr="003513B0">
        <w:t>siRNAs</w:t>
      </w:r>
      <w:proofErr w:type="spellEnd"/>
      <w:r w:rsidRPr="003513B0">
        <w:t xml:space="preserve"> and </w:t>
      </w:r>
      <w:proofErr w:type="spellStart"/>
      <w:r w:rsidRPr="003513B0">
        <w:t>miRNAs</w:t>
      </w:r>
      <w:proofErr w:type="spellEnd"/>
      <w:r w:rsidRPr="003513B0">
        <w:t xml:space="preserve"> are therefore very different.</w:t>
      </w:r>
    </w:p>
    <w:p w14:paraId="6941E4AB" w14:textId="77777777" w:rsidR="003513B0" w:rsidRDefault="003513B0" w:rsidP="003513B0">
      <w:pPr>
        <w:pStyle w:val="ListParagraph"/>
        <w:ind w:left="360"/>
        <w:jc w:val="both"/>
        <w:rPr>
          <w:b/>
        </w:rPr>
      </w:pPr>
    </w:p>
    <w:p w14:paraId="4273A6D5" w14:textId="77777777" w:rsidR="003513B0" w:rsidRPr="003513B0" w:rsidRDefault="003513B0" w:rsidP="003513B0">
      <w:pPr>
        <w:pStyle w:val="ListParagraph"/>
        <w:ind w:left="360"/>
        <w:jc w:val="both"/>
        <w:rPr>
          <w:b/>
        </w:rPr>
      </w:pPr>
      <w:r w:rsidRPr="003513B0">
        <w:rPr>
          <w:b/>
        </w:rPr>
        <w:t>4) Describe briefly how GR was found to be interacting with the actions of NRF2 in these cells (describe two mechanisms). How was this shown? Be as concise as possible. How does this differ from the other ways in which GR regulates transcription? Give two other examples of how GR can otherwise regulate transcription that do not involve NRF2.</w:t>
      </w:r>
    </w:p>
    <w:p w14:paraId="69D400A2" w14:textId="77777777" w:rsidR="003513B0" w:rsidRPr="003513B0" w:rsidRDefault="003513B0" w:rsidP="003513B0">
      <w:pPr>
        <w:pStyle w:val="ListParagraph"/>
        <w:ind w:left="360"/>
        <w:jc w:val="both"/>
      </w:pPr>
      <w:r w:rsidRPr="003513B0">
        <w:t xml:space="preserve">From the above study </w:t>
      </w:r>
      <w:proofErr w:type="gramStart"/>
      <w:r w:rsidRPr="003513B0">
        <w:t>We</w:t>
      </w:r>
      <w:proofErr w:type="gramEnd"/>
      <w:r w:rsidRPr="003513B0">
        <w:t xml:space="preserve"> found that glucocorticoids, dexamethasone and betamethasone, antagonize diethyl maleate-induced activation of NRF2 target genes in a GR-dependent manner. Dexamethasone treatment enhanced GR recruitment to AREs without affecting chromatin binding of NRF2, resulting in the inhibition of CBP recruitment and histone acetylation at AREs. This repressive effect was canceled by the addition of histone </w:t>
      </w:r>
      <w:proofErr w:type="spellStart"/>
      <w:r w:rsidRPr="003513B0">
        <w:t>deacetylase</w:t>
      </w:r>
      <w:proofErr w:type="spellEnd"/>
      <w:r w:rsidRPr="003513B0">
        <w:t xml:space="preserve"> inhibitors. Thus, GR signaling decreases NRF2 transcriptional activation through reducing the NRF2-dependent histone acetylation. Consistent with these observations, GR signaling blocked NRF2-mediated </w:t>
      </w:r>
      <w:proofErr w:type="spellStart"/>
      <w:r w:rsidRPr="003513B0">
        <w:t>cytoprotection</w:t>
      </w:r>
      <w:proofErr w:type="spellEnd"/>
      <w:r w:rsidRPr="003513B0">
        <w:t xml:space="preserve"> from oxidative stress. This study suggests that an impaired antioxidant response by NRF2 and a resulting decrease in cellular antioxidant capacity account for the side effects of glucocorticoids, providing a novel viewpoint for the pathogenesis of </w:t>
      </w:r>
      <w:proofErr w:type="spellStart"/>
      <w:r w:rsidRPr="003513B0">
        <w:t>hypercorticosteroidism</w:t>
      </w:r>
      <w:proofErr w:type="spellEnd"/>
      <w:r w:rsidRPr="003513B0">
        <w:t>.</w:t>
      </w:r>
    </w:p>
    <w:p w14:paraId="05293D18" w14:textId="77777777" w:rsidR="003513B0" w:rsidRPr="003513B0" w:rsidRDefault="003513B0" w:rsidP="003513B0">
      <w:pPr>
        <w:pStyle w:val="ListParagraph"/>
        <w:ind w:left="360"/>
        <w:jc w:val="both"/>
      </w:pPr>
    </w:p>
    <w:p w14:paraId="1A1966F6" w14:textId="77777777" w:rsidR="003513B0" w:rsidRPr="003513B0" w:rsidRDefault="003513B0" w:rsidP="003513B0">
      <w:pPr>
        <w:pStyle w:val="ListParagraph"/>
        <w:ind w:left="360"/>
        <w:jc w:val="both"/>
        <w:rPr>
          <w:b/>
        </w:rPr>
      </w:pPr>
      <w:r w:rsidRPr="003513B0">
        <w:rPr>
          <w:b/>
        </w:rPr>
        <w:t>5) In Figure 8, above, describe the assay that is being done. What is the significance of what is being shown? In your answer, explain why the authors used the antibodies they did. What do the six graphs within the figure represent? What does the figure tell us about the actions of the glucocorticoid receptor and why?</w:t>
      </w:r>
    </w:p>
    <w:p w14:paraId="5B8FA968" w14:textId="77777777" w:rsidR="003513B0" w:rsidRPr="003513B0" w:rsidRDefault="003513B0" w:rsidP="003513B0">
      <w:pPr>
        <w:pStyle w:val="ListParagraph"/>
        <w:ind w:left="360"/>
        <w:jc w:val="both"/>
      </w:pPr>
      <w:proofErr w:type="spellStart"/>
      <w:r w:rsidRPr="003513B0">
        <w:rPr>
          <w:b/>
          <w:bCs/>
        </w:rPr>
        <w:t>Dex</w:t>
      </w:r>
      <w:proofErr w:type="spellEnd"/>
      <w:r w:rsidRPr="003513B0">
        <w:rPr>
          <w:b/>
          <w:bCs/>
        </w:rPr>
        <w:t xml:space="preserve"> treatment reduces CBP recruitment and H3K27 acetylation at AREs.</w:t>
      </w:r>
      <w:r w:rsidRPr="003513B0">
        <w:t> </w:t>
      </w:r>
      <w:r w:rsidRPr="003513B0">
        <w:rPr>
          <w:i/>
          <w:iCs/>
        </w:rPr>
        <w:t>A</w:t>
      </w:r>
      <w:r w:rsidRPr="003513B0">
        <w:t> and </w:t>
      </w:r>
      <w:r w:rsidRPr="003513B0">
        <w:rPr>
          <w:i/>
          <w:iCs/>
        </w:rPr>
        <w:t>B</w:t>
      </w:r>
      <w:r w:rsidRPr="003513B0">
        <w:t xml:space="preserve">, </w:t>
      </w:r>
      <w:proofErr w:type="spellStart"/>
      <w:r w:rsidRPr="003513B0">
        <w:t>ChIP</w:t>
      </w:r>
      <w:proofErr w:type="spellEnd"/>
      <w:r w:rsidRPr="003513B0">
        <w:t xml:space="preserve"> assay with anti-CBP (</w:t>
      </w:r>
      <w:r w:rsidRPr="003513B0">
        <w:rPr>
          <w:i/>
          <w:iCs/>
        </w:rPr>
        <w:t>A</w:t>
      </w:r>
      <w:r w:rsidRPr="003513B0">
        <w:t>) and anti-H3K27Ac (</w:t>
      </w:r>
      <w:r w:rsidRPr="003513B0">
        <w:rPr>
          <w:i/>
          <w:iCs/>
        </w:rPr>
        <w:t>B</w:t>
      </w:r>
      <w:r w:rsidRPr="003513B0">
        <w:t xml:space="preserve">) antibodies using Hepa1c1c7 cells treated with DEM and DEM + </w:t>
      </w:r>
      <w:proofErr w:type="spellStart"/>
      <w:r w:rsidRPr="003513B0">
        <w:t>Dex</w:t>
      </w:r>
      <w:proofErr w:type="spellEnd"/>
      <w:r w:rsidRPr="003513B0">
        <w:t xml:space="preserve">. -Fold changes of relative enrichments for DEM + </w:t>
      </w:r>
      <w:proofErr w:type="spellStart"/>
      <w:r w:rsidRPr="003513B0">
        <w:t>Dex</w:t>
      </w:r>
      <w:proofErr w:type="spellEnd"/>
      <w:r w:rsidRPr="003513B0">
        <w:t>-treated and vehicle-treated cells against DEM-treated cells were calculated. The average and S.D. (</w:t>
      </w:r>
      <w:r w:rsidRPr="003513B0">
        <w:rPr>
          <w:i/>
          <w:iCs/>
        </w:rPr>
        <w:t>error bars</w:t>
      </w:r>
      <w:r w:rsidRPr="003513B0">
        <w:t xml:space="preserve">) of the -fold changes from triplicate reactions are shown. Confidence interval estimation was conducted for DEM + </w:t>
      </w:r>
      <w:proofErr w:type="spellStart"/>
      <w:r w:rsidRPr="003513B0">
        <w:t>Dex</w:t>
      </w:r>
      <w:proofErr w:type="spellEnd"/>
      <w:r w:rsidRPr="003513B0">
        <w:t>-treated samples. *, α &lt; 0.05; **, α &lt; 0.01; </w:t>
      </w:r>
      <w:r w:rsidRPr="003513B0">
        <w:rPr>
          <w:i/>
          <w:iCs/>
        </w:rPr>
        <w:t>ns</w:t>
      </w:r>
      <w:r w:rsidRPr="003513B0">
        <w:t xml:space="preserve">, </w:t>
      </w:r>
      <w:proofErr w:type="spellStart"/>
      <w:r w:rsidRPr="003513B0">
        <w:t>nonsignificant</w:t>
      </w:r>
      <w:proofErr w:type="spellEnd"/>
    </w:p>
    <w:p w14:paraId="4AF72D75" w14:textId="3162E3E8" w:rsidR="003513B0" w:rsidRDefault="003513B0" w:rsidP="003513B0">
      <w:pPr>
        <w:pStyle w:val="ListParagraph"/>
        <w:ind w:left="360"/>
        <w:jc w:val="both"/>
      </w:pPr>
      <w:r w:rsidRPr="003513B0">
        <w:t>Previous reports described that active enhancers and promoters are marked by acetylation of H3K27 and H3K9, respectively (</w:t>
      </w:r>
      <w:hyperlink r:id="rId5" w:anchor="B25" w:history="1">
        <w:r w:rsidRPr="003513B0">
          <w:rPr>
            <w:rStyle w:val="Hyperlink"/>
          </w:rPr>
          <w:t>25</w:t>
        </w:r>
      </w:hyperlink>
      <w:r w:rsidRPr="003513B0">
        <w:t>, </w:t>
      </w:r>
      <w:hyperlink r:id="rId6" w:anchor="B26" w:history="1">
        <w:r w:rsidRPr="003513B0">
          <w:rPr>
            <w:rStyle w:val="Hyperlink"/>
          </w:rPr>
          <w:t>26</w:t>
        </w:r>
      </w:hyperlink>
      <w:r w:rsidRPr="003513B0">
        <w:t xml:space="preserve">). We examined an effect of GR signaling on the acetylation status of H3K9. In contrast to H3K27 acetylation, </w:t>
      </w:r>
      <w:proofErr w:type="spellStart"/>
      <w:r w:rsidRPr="003513B0">
        <w:t>Dex</w:t>
      </w:r>
      <w:proofErr w:type="spellEnd"/>
      <w:r w:rsidRPr="003513B0">
        <w:t xml:space="preserve"> treatment did not induce apparent decrease in the H3K9 acetylation (</w:t>
      </w:r>
      <w:hyperlink r:id="rId7" w:tgtFrame="figure" w:history="1">
        <w:r w:rsidRPr="003513B0">
          <w:rPr>
            <w:rStyle w:val="Hyperlink"/>
          </w:rPr>
          <w:t>Fig. 9</w:t>
        </w:r>
      </w:hyperlink>
      <w:r w:rsidRPr="003513B0">
        <w:t>). Moreover, DEM treatment did not increase the H3K9 acetylation at </w:t>
      </w:r>
      <w:proofErr w:type="spellStart"/>
      <w:r w:rsidRPr="003513B0">
        <w:rPr>
          <w:i/>
          <w:iCs/>
        </w:rPr>
        <w:t>Gclm</w:t>
      </w:r>
      <w:proofErr w:type="spellEnd"/>
      <w:r w:rsidRPr="003513B0">
        <w:t> ARE. These results imply that the GR signaling affects the enhancer histone acetylation but not the promoter histone acetylation, although the molecular mechanisms underlying this selectivity are currently unknown. Thus, GR signaling reduces the CBP recruitment and H3K27 acetylation at NRF2 target gene loci.</w:t>
      </w:r>
    </w:p>
    <w:p w14:paraId="4C438240" w14:textId="77777777" w:rsidR="003513B0" w:rsidRDefault="003513B0" w:rsidP="003513B0">
      <w:pPr>
        <w:pStyle w:val="ListParagraph"/>
        <w:ind w:left="360"/>
        <w:jc w:val="both"/>
      </w:pPr>
    </w:p>
    <w:p w14:paraId="54E8B009" w14:textId="0AD40B6C" w:rsidR="003513B0" w:rsidRPr="003513B0" w:rsidRDefault="003513B0" w:rsidP="003513B0">
      <w:pPr>
        <w:pStyle w:val="ListParagraph"/>
        <w:ind w:left="360"/>
        <w:jc w:val="both"/>
        <w:rPr>
          <w:b/>
        </w:rPr>
      </w:pPr>
      <w:r w:rsidRPr="003513B0">
        <w:rPr>
          <w:b/>
        </w:rPr>
        <w:t>Part 3</w:t>
      </w:r>
    </w:p>
    <w:p w14:paraId="795F99DE" w14:textId="77777777" w:rsidR="003513B0" w:rsidRPr="003513B0" w:rsidRDefault="003513B0" w:rsidP="003513B0">
      <w:pPr>
        <w:pStyle w:val="ListParagraph"/>
        <w:numPr>
          <w:ilvl w:val="0"/>
          <w:numId w:val="2"/>
        </w:numPr>
        <w:jc w:val="both"/>
      </w:pPr>
      <w:r w:rsidRPr="003513B0">
        <w:t xml:space="preserve">In your own words, describe the conditions in which the cell is normally able to increase levels of NRF2. What specific factor is regulated, and how? What benefit is this to the cell? (7) </w:t>
      </w:r>
    </w:p>
    <w:p w14:paraId="639EC1A6" w14:textId="77777777" w:rsidR="003513B0" w:rsidRPr="003513B0" w:rsidRDefault="003513B0" w:rsidP="003513B0">
      <w:pPr>
        <w:pStyle w:val="ListParagraph"/>
        <w:ind w:left="360"/>
      </w:pPr>
      <w:r w:rsidRPr="003513B0">
        <w:rPr>
          <w:b/>
          <w:bCs/>
        </w:rPr>
        <w:t xml:space="preserve">The body has a mechanism that fight pathogen, when a micro-organism enters the body, the white blood cell secretes NRF2 that fights the micro-organism by engulfing it. NRF2 proteins increases when the amount of the micro – organism, the </w:t>
      </w:r>
      <w:proofErr w:type="spellStart"/>
      <w:r w:rsidRPr="003513B0">
        <w:rPr>
          <w:b/>
          <w:bCs/>
        </w:rPr>
        <w:t>ph</w:t>
      </w:r>
      <w:proofErr w:type="spellEnd"/>
      <w:r w:rsidRPr="003513B0">
        <w:rPr>
          <w:b/>
          <w:bCs/>
        </w:rPr>
        <w:t xml:space="preserve"> of the plasma is controlled because proteins are denatured by extreme basic and acidic conditions</w:t>
      </w:r>
      <w:r w:rsidRPr="003513B0">
        <w:t>.</w:t>
      </w:r>
    </w:p>
    <w:p w14:paraId="5C77DBA3" w14:textId="77777777" w:rsidR="003513B0" w:rsidRPr="003513B0" w:rsidRDefault="003513B0" w:rsidP="003513B0">
      <w:pPr>
        <w:pStyle w:val="ListParagraph"/>
        <w:numPr>
          <w:ilvl w:val="0"/>
          <w:numId w:val="2"/>
        </w:numPr>
        <w:jc w:val="both"/>
      </w:pPr>
      <w:r w:rsidRPr="003513B0">
        <w:t xml:space="preserve">In this study, how was NRF2 isolated? Describe the process briefly. (3) </w:t>
      </w:r>
    </w:p>
    <w:p w14:paraId="7D31F05A" w14:textId="77777777" w:rsidR="003513B0" w:rsidRPr="003513B0" w:rsidRDefault="003513B0" w:rsidP="003513B0">
      <w:pPr>
        <w:pStyle w:val="ListParagraph"/>
        <w:ind w:left="360"/>
        <w:jc w:val="both"/>
        <w:rPr>
          <w:b/>
          <w:bCs/>
        </w:rPr>
      </w:pPr>
      <w:r w:rsidRPr="003513B0">
        <w:rPr>
          <w:b/>
          <w:bCs/>
        </w:rPr>
        <w:t>NRF2 was separated reducing the amount of the pathogen intake so that the white blood cells accumulate it, therefor becoming very easy to separate it.</w:t>
      </w:r>
    </w:p>
    <w:p w14:paraId="7FDE9B5C" w14:textId="77777777" w:rsidR="003513B0" w:rsidRPr="003513B0" w:rsidRDefault="003513B0" w:rsidP="003513B0">
      <w:pPr>
        <w:pStyle w:val="ListParagraph"/>
        <w:numPr>
          <w:ilvl w:val="0"/>
          <w:numId w:val="2"/>
        </w:numPr>
        <w:jc w:val="both"/>
      </w:pPr>
      <w:r w:rsidRPr="003513B0">
        <w:t>Small interfering RNA (</w:t>
      </w:r>
      <w:proofErr w:type="spellStart"/>
      <w:r w:rsidRPr="003513B0">
        <w:t>siRNA</w:t>
      </w:r>
      <w:proofErr w:type="spellEnd"/>
      <w:r w:rsidRPr="003513B0">
        <w:t>) works in a similar way to microRNA (</w:t>
      </w:r>
      <w:proofErr w:type="spellStart"/>
      <w:r w:rsidRPr="003513B0">
        <w:t>miRNA</w:t>
      </w:r>
      <w:proofErr w:type="spellEnd"/>
      <w:r w:rsidRPr="003513B0">
        <w:t xml:space="preserve">) but is more specific at being able to target specific genes. Describe the results shown in figure 2 and why they are important. (10) </w:t>
      </w:r>
    </w:p>
    <w:p w14:paraId="19FB2391" w14:textId="77777777" w:rsidR="003513B0" w:rsidRPr="003513B0" w:rsidRDefault="003513B0" w:rsidP="003513B0">
      <w:pPr>
        <w:pStyle w:val="ListParagraph"/>
        <w:ind w:left="360"/>
        <w:jc w:val="both"/>
        <w:rPr>
          <w:b/>
          <w:bCs/>
        </w:rPr>
      </w:pPr>
      <w:r w:rsidRPr="003513B0">
        <w:rPr>
          <w:b/>
          <w:bCs/>
        </w:rPr>
        <w:t>From the graphs in figure 2, it is evident that the value of RNA works in similar way to microRNA. This is true because the two are made up of protein and perform the same function. The RNA also manipulates the gene and gene mutation.</w:t>
      </w:r>
    </w:p>
    <w:p w14:paraId="529030FD" w14:textId="77777777" w:rsidR="003513B0" w:rsidRPr="003513B0" w:rsidRDefault="003513B0" w:rsidP="003513B0">
      <w:pPr>
        <w:pStyle w:val="ListParagraph"/>
        <w:numPr>
          <w:ilvl w:val="0"/>
          <w:numId w:val="2"/>
        </w:numPr>
        <w:jc w:val="both"/>
      </w:pPr>
      <w:r w:rsidRPr="003513B0">
        <w:t xml:space="preserve">Describe briefly how GR was found to be interacting with the actions of NRF2 in these cells (describe two mechanisms). How was this shown? Be as concise as possible. How does this differ from the other ways in which GR regulates transcription? Give two other examples of how GR can otherwise regulate transcription that do not involve NRF2. (9) </w:t>
      </w:r>
    </w:p>
    <w:p w14:paraId="00B44669" w14:textId="77777777" w:rsidR="003513B0" w:rsidRPr="003513B0" w:rsidRDefault="003513B0" w:rsidP="003513B0">
      <w:pPr>
        <w:pStyle w:val="ListParagraph"/>
        <w:ind w:left="360"/>
        <w:rPr>
          <w:b/>
          <w:bCs/>
        </w:rPr>
      </w:pPr>
      <w:r w:rsidRPr="003513B0">
        <w:rPr>
          <w:b/>
          <w:bCs/>
        </w:rPr>
        <w:t xml:space="preserve">The interactions play a very important role </w:t>
      </w:r>
      <w:proofErr w:type="spellStart"/>
      <w:r w:rsidRPr="003513B0">
        <w:rPr>
          <w:b/>
          <w:bCs/>
        </w:rPr>
        <w:t>n</w:t>
      </w:r>
      <w:proofErr w:type="spellEnd"/>
      <w:r w:rsidRPr="003513B0">
        <w:rPr>
          <w:b/>
          <w:bCs/>
        </w:rPr>
        <w:t xml:space="preserve"> the internal opposition that causes the cell to adapt to its function of offering protection against the internal organs of the body. All the toxic substances are removed from the body by this organelle. This mechanism is very import because it allows the body to function well.</w:t>
      </w:r>
    </w:p>
    <w:p w14:paraId="1EFDDE39" w14:textId="77777777" w:rsidR="003513B0" w:rsidRPr="003513B0" w:rsidRDefault="003513B0" w:rsidP="003513B0">
      <w:pPr>
        <w:pStyle w:val="ListParagraph"/>
        <w:ind w:left="360"/>
        <w:jc w:val="both"/>
      </w:pPr>
    </w:p>
    <w:p w14:paraId="0C42ED67" w14:textId="77777777" w:rsidR="003513B0" w:rsidRPr="003513B0" w:rsidRDefault="003513B0" w:rsidP="003513B0">
      <w:pPr>
        <w:pStyle w:val="ListParagraph"/>
        <w:numPr>
          <w:ilvl w:val="0"/>
          <w:numId w:val="2"/>
        </w:numPr>
        <w:jc w:val="both"/>
      </w:pPr>
      <w:r w:rsidRPr="003513B0">
        <w:t>In Figure 8, above, describe the assay that is being done. What is the significance of what is being shown? In your answer, explain why the authors used the antibodies they did. What do the six graphs within the figure represent? What does the figure tell us about the actions of the glucocorticoid receptor and why? (4)</w:t>
      </w:r>
    </w:p>
    <w:p w14:paraId="7E9A4C56" w14:textId="77777777" w:rsidR="003513B0" w:rsidRPr="003513B0" w:rsidRDefault="003513B0" w:rsidP="003513B0">
      <w:pPr>
        <w:pStyle w:val="ListParagraph"/>
        <w:ind w:left="360"/>
      </w:pPr>
      <w:r w:rsidRPr="003513B0">
        <w:rPr>
          <w:b/>
          <w:bCs/>
        </w:rPr>
        <w:t xml:space="preserve">In figure 8, the antibodies were being discussed. The antibodies are used to remove </w:t>
      </w:r>
      <w:proofErr w:type="spellStart"/>
      <w:r w:rsidRPr="003513B0">
        <w:rPr>
          <w:b/>
          <w:bCs/>
        </w:rPr>
        <w:t>micro organisms</w:t>
      </w:r>
      <w:proofErr w:type="spellEnd"/>
      <w:r w:rsidRPr="003513B0">
        <w:rPr>
          <w:b/>
          <w:bCs/>
        </w:rPr>
        <w:t xml:space="preserve"> that are unwanted from the body. The NRF2 in the cells plays a very critical task </w:t>
      </w:r>
      <w:proofErr w:type="spellStart"/>
      <w:r w:rsidRPr="003513B0">
        <w:rPr>
          <w:b/>
          <w:bCs/>
        </w:rPr>
        <w:t>i.e</w:t>
      </w:r>
      <w:proofErr w:type="spellEnd"/>
      <w:r w:rsidRPr="003513B0">
        <w:rPr>
          <w:b/>
          <w:bCs/>
        </w:rPr>
        <w:t xml:space="preserve"> it engulfs the micro- organisms that may cause diseases</w:t>
      </w:r>
      <w:r w:rsidRPr="003513B0">
        <w:t>.</w:t>
      </w:r>
    </w:p>
    <w:p w14:paraId="7DB61A7D" w14:textId="77777777" w:rsidR="003513B0" w:rsidRPr="003513B0" w:rsidRDefault="003513B0" w:rsidP="003513B0">
      <w:pPr>
        <w:pStyle w:val="ListParagraph"/>
        <w:ind w:left="360"/>
        <w:jc w:val="both"/>
      </w:pPr>
    </w:p>
    <w:p w14:paraId="2CFE3547" w14:textId="77777777" w:rsidR="00E86320" w:rsidRPr="00E86320" w:rsidRDefault="00E86320" w:rsidP="00E86320">
      <w:pPr>
        <w:jc w:val="both"/>
      </w:pPr>
      <w:r w:rsidRPr="00E86320">
        <w:rPr>
          <w:color w:val="000000"/>
        </w:rPr>
        <w:t xml:space="preserve"> </w:t>
      </w:r>
    </w:p>
    <w:p w14:paraId="0B8EA35C" w14:textId="13D35205" w:rsidR="00E86320" w:rsidRPr="00E86320" w:rsidRDefault="00E86320" w:rsidP="00E86320">
      <w:pPr>
        <w:jc w:val="both"/>
      </w:pPr>
      <w:r w:rsidRPr="00E86320">
        <w:rPr>
          <w:color w:val="000000"/>
        </w:rPr>
        <w:t xml:space="preserve"> </w:t>
      </w:r>
    </w:p>
    <w:p w14:paraId="4F2F595F" w14:textId="77777777" w:rsidR="00E86320" w:rsidRDefault="00E86320" w:rsidP="00E86320">
      <w:pPr>
        <w:jc w:val="both"/>
      </w:pPr>
    </w:p>
    <w:p w14:paraId="4DD34802" w14:textId="77777777" w:rsidR="00E86320" w:rsidRPr="00FB66E4" w:rsidRDefault="00E86320" w:rsidP="00E86320"/>
    <w:sectPr w:rsidR="00E86320" w:rsidRPr="00FB66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9708AF"/>
    <w:multiLevelType w:val="hybridMultilevel"/>
    <w:tmpl w:val="59AED2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467C41"/>
    <w:multiLevelType w:val="hybridMultilevel"/>
    <w:tmpl w:val="7AD0D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6E4"/>
    <w:rsid w:val="00022841"/>
    <w:rsid w:val="00213DEA"/>
    <w:rsid w:val="003513B0"/>
    <w:rsid w:val="004A6240"/>
    <w:rsid w:val="004B2FF8"/>
    <w:rsid w:val="00610E1B"/>
    <w:rsid w:val="006142D5"/>
    <w:rsid w:val="006D5090"/>
    <w:rsid w:val="0074120F"/>
    <w:rsid w:val="007B4C9F"/>
    <w:rsid w:val="00876C29"/>
    <w:rsid w:val="008E30A1"/>
    <w:rsid w:val="009629B6"/>
    <w:rsid w:val="009667CF"/>
    <w:rsid w:val="00A841C4"/>
    <w:rsid w:val="00B505C0"/>
    <w:rsid w:val="00CC1369"/>
    <w:rsid w:val="00CC2B4E"/>
    <w:rsid w:val="00D10742"/>
    <w:rsid w:val="00D226B7"/>
    <w:rsid w:val="00E86320"/>
    <w:rsid w:val="00EB10AA"/>
    <w:rsid w:val="00FB66E4"/>
    <w:rsid w:val="00FD7BAB"/>
    <w:rsid w:val="00FE6CF5"/>
    <w:rsid w:val="00FF2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3B3AA"/>
  <w15:chartTrackingRefBased/>
  <w15:docId w15:val="{4C61C80B-856B-49C8-9EC8-3E20CEC98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basedOn w:val="DefaultParagraphFont"/>
    <w:rsid w:val="00FB66E4"/>
  </w:style>
  <w:style w:type="character" w:customStyle="1" w:styleId="ff1">
    <w:name w:val="ff1"/>
    <w:basedOn w:val="DefaultParagraphFont"/>
    <w:rsid w:val="00FB66E4"/>
  </w:style>
  <w:style w:type="character" w:customStyle="1" w:styleId="fs5">
    <w:name w:val="fs5"/>
    <w:basedOn w:val="DefaultParagraphFont"/>
    <w:rsid w:val="00FB66E4"/>
  </w:style>
  <w:style w:type="character" w:customStyle="1" w:styleId="ls4">
    <w:name w:val="ls4"/>
    <w:basedOn w:val="DefaultParagraphFont"/>
    <w:rsid w:val="00FB66E4"/>
  </w:style>
  <w:style w:type="character" w:customStyle="1" w:styleId="ls0">
    <w:name w:val="ls0"/>
    <w:basedOn w:val="DefaultParagraphFont"/>
    <w:rsid w:val="00FB66E4"/>
  </w:style>
  <w:style w:type="character" w:customStyle="1" w:styleId="ls2">
    <w:name w:val="ls2"/>
    <w:basedOn w:val="DefaultParagraphFont"/>
    <w:rsid w:val="00FB66E4"/>
  </w:style>
  <w:style w:type="paragraph" w:styleId="ListParagraph">
    <w:name w:val="List Paragraph"/>
    <w:basedOn w:val="Normal"/>
    <w:uiPriority w:val="34"/>
    <w:qFormat/>
    <w:rsid w:val="00E86320"/>
    <w:pPr>
      <w:ind w:left="720"/>
      <w:contextualSpacing/>
    </w:pPr>
  </w:style>
  <w:style w:type="character" w:styleId="Hyperlink">
    <w:name w:val="Hyperlink"/>
    <w:basedOn w:val="DefaultParagraphFont"/>
    <w:uiPriority w:val="99"/>
    <w:unhideWhenUsed/>
    <w:rsid w:val="003513B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03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cbi.nlm.nih.gov/pmc/articles/PMC5418050/figure/F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mc/articles/PMC5418050/" TargetMode="External"/><Relationship Id="rId5" Type="http://schemas.openxmlformats.org/officeDocument/2006/relationships/hyperlink" Target="https://www.ncbi.nlm.nih.gov/pmc/articles/PMC541805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1813</Words>
  <Characters>10338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CHRISPINE CENSUR</dc:creator>
  <cp:keywords/>
  <dc:description/>
  <cp:lastModifiedBy>m</cp:lastModifiedBy>
  <cp:revision>2</cp:revision>
  <dcterms:created xsi:type="dcterms:W3CDTF">2020-10-21T22:30:00Z</dcterms:created>
  <dcterms:modified xsi:type="dcterms:W3CDTF">2020-10-21T22:30:00Z</dcterms:modified>
</cp:coreProperties>
</file>